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88" w:rsidRDefault="00CC5788" w:rsidP="00CC5788">
      <w:pPr>
        <w:pStyle w:val="Heading1"/>
        <w:spacing w:before="0" w:after="120"/>
      </w:pPr>
      <w:r>
        <w:t>Activity 26. Research and Technology Center Visits (CYRIC)</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CC5788" w:rsidRDefault="00CC5788" w:rsidP="00320BA1">
      <w:pPr>
        <w:numPr>
          <w:ilvl w:val="2"/>
          <w:numId w:val="2"/>
        </w:numPr>
        <w:pBdr>
          <w:top w:val="nil"/>
          <w:left w:val="nil"/>
          <w:bottom w:val="nil"/>
          <w:right w:val="nil"/>
          <w:between w:val="nil"/>
        </w:pBdr>
        <w:spacing w:after="120"/>
        <w:ind w:left="851" w:right="-51"/>
        <w:rPr>
          <w:b/>
          <w:color w:val="4472C4"/>
        </w:rPr>
      </w:pPr>
      <w:r>
        <w:rPr>
          <w:color w:val="000000"/>
        </w:rPr>
        <w:t xml:space="preserve">Develop problem-solving and research skills </w:t>
      </w:r>
    </w:p>
    <w:p w:rsidR="00CC5788" w:rsidRDefault="00CC5788" w:rsidP="00320BA1">
      <w:pPr>
        <w:numPr>
          <w:ilvl w:val="2"/>
          <w:numId w:val="2"/>
        </w:numPr>
        <w:pBdr>
          <w:top w:val="nil"/>
          <w:left w:val="nil"/>
          <w:bottom w:val="nil"/>
          <w:right w:val="nil"/>
          <w:between w:val="nil"/>
        </w:pBdr>
        <w:spacing w:after="120"/>
        <w:ind w:left="851" w:right="-51"/>
        <w:rPr>
          <w:b/>
          <w:color w:val="4472C4"/>
        </w:rPr>
      </w:pPr>
      <w:r>
        <w:rPr>
          <w:color w:val="000000"/>
        </w:rPr>
        <w:t>Inspire and raise awareness of STEM career paths</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CC5788" w:rsidRDefault="00CC5788" w:rsidP="00CC5788">
      <w:pPr>
        <w:pBdr>
          <w:top w:val="nil"/>
          <w:left w:val="nil"/>
          <w:bottom w:val="nil"/>
          <w:right w:val="nil"/>
          <w:between w:val="nil"/>
        </w:pBdr>
        <w:spacing w:after="120"/>
        <w:ind w:left="1080" w:right="-51" w:hanging="720"/>
        <w:rPr>
          <w:color w:val="000000"/>
        </w:rPr>
      </w:pPr>
      <w:r>
        <w:rPr>
          <w:color w:val="000000"/>
        </w:rPr>
        <w:t xml:space="preserve">The activity is related with STEM as it exposes the students to an environment where the majority has a STEM background and are following a STEM related career. </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Indicate the area of focus:</w:t>
      </w:r>
    </w:p>
    <w:p w:rsidR="00CC5788" w:rsidRDefault="00CC5788" w:rsidP="00CC5788">
      <w:pPr>
        <w:pBdr>
          <w:top w:val="nil"/>
          <w:left w:val="nil"/>
          <w:bottom w:val="nil"/>
          <w:right w:val="nil"/>
          <w:between w:val="nil"/>
        </w:pBdr>
        <w:spacing w:after="120"/>
        <w:ind w:left="360" w:right="-51" w:hanging="720"/>
        <w:rPr>
          <w:b/>
          <w:color w:val="4472C4"/>
        </w:rPr>
      </w:pPr>
      <w:r>
        <w:rPr>
          <w:b/>
          <w:color w:val="4472C4"/>
        </w:rPr>
        <w:t>☒ STEM</w:t>
      </w:r>
    </w:p>
    <w:p w:rsidR="00CC5788" w:rsidRDefault="00CC5788" w:rsidP="00CC5788">
      <w:pPr>
        <w:pBdr>
          <w:top w:val="nil"/>
          <w:left w:val="nil"/>
          <w:bottom w:val="nil"/>
          <w:right w:val="nil"/>
          <w:between w:val="nil"/>
        </w:pBdr>
        <w:spacing w:after="120"/>
        <w:ind w:left="360" w:right="-51" w:hanging="720"/>
        <w:rPr>
          <w:b/>
          <w:color w:val="4472C4"/>
        </w:rPr>
      </w:pPr>
      <w:r>
        <w:rPr>
          <w:b/>
          <w:color w:val="4472C4"/>
        </w:rPr>
        <w:t>☐ Gender inclusiveness</w:t>
      </w:r>
    </w:p>
    <w:p w:rsidR="00CC5788" w:rsidRDefault="00CC5788" w:rsidP="00CC5788">
      <w:pPr>
        <w:pBdr>
          <w:top w:val="nil"/>
          <w:left w:val="nil"/>
          <w:bottom w:val="nil"/>
          <w:right w:val="nil"/>
          <w:between w:val="nil"/>
        </w:pBdr>
        <w:spacing w:after="120"/>
        <w:ind w:left="360" w:right="-51" w:hanging="720"/>
        <w:rPr>
          <w:b/>
          <w:color w:val="4472C4"/>
        </w:rPr>
      </w:pPr>
      <w:r>
        <w:rPr>
          <w:b/>
          <w:color w:val="4472C4"/>
        </w:rPr>
        <w:t>☐ Entrepreneurship</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 xml:space="preserve">Materials: </w:t>
      </w:r>
      <w:r>
        <w:rPr>
          <w:color w:val="808080"/>
        </w:rPr>
        <w:t>(including ppts, videos, hands-on material)</w:t>
      </w:r>
    </w:p>
    <w:p w:rsidR="00CC5788" w:rsidRDefault="00CC5788" w:rsidP="00320BA1">
      <w:pPr>
        <w:numPr>
          <w:ilvl w:val="0"/>
          <w:numId w:val="1"/>
        </w:numPr>
        <w:pBdr>
          <w:top w:val="nil"/>
          <w:left w:val="nil"/>
          <w:bottom w:val="nil"/>
          <w:right w:val="nil"/>
          <w:between w:val="nil"/>
        </w:pBdr>
        <w:spacing w:after="120"/>
        <w:ind w:left="709" w:right="-51"/>
        <w:rPr>
          <w:b/>
        </w:rPr>
      </w:pPr>
      <w:r>
        <w:rPr>
          <w:color w:val="000000"/>
        </w:rPr>
        <w:t>None</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Preparation:</w:t>
      </w:r>
      <w:r>
        <w:rPr>
          <w:b/>
          <w:color w:val="4472C4"/>
        </w:rPr>
        <w:br/>
      </w:r>
      <w:r>
        <w:rPr>
          <w:color w:val="000000"/>
        </w:rPr>
        <w:t>Teachers review the availability of Research and Technology Centers in their vicinity and arrange a visit ahead of time. Depending on location and language restrictions, teleconferences can also be arranged.</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 xml:space="preserve">Duration: </w:t>
      </w:r>
      <w:r>
        <w:rPr>
          <w:color w:val="000000"/>
        </w:rPr>
        <w:t xml:space="preserve">60-80 </w:t>
      </w:r>
      <w:r>
        <w:rPr>
          <w:color w:val="808080"/>
        </w:rPr>
        <w:t>(minutes)</w:t>
      </w: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 xml:space="preserve">Target group: </w:t>
      </w:r>
      <w:r>
        <w:rPr>
          <w:color w:val="000000"/>
        </w:rPr>
        <w:t xml:space="preserve">12-18 </w:t>
      </w:r>
      <w:r>
        <w:rPr>
          <w:color w:val="808080"/>
        </w:rPr>
        <w:t>(student age)</w:t>
      </w:r>
    </w:p>
    <w:p w:rsidR="00CC5788" w:rsidRDefault="00CC5788" w:rsidP="00CC5788">
      <w:pPr>
        <w:spacing w:after="120"/>
        <w:ind w:right="-51"/>
        <w:rPr>
          <w:b/>
          <w:color w:val="C00000"/>
        </w:rPr>
      </w:pPr>
      <w:r>
        <w:rPr>
          <w:b/>
          <w:color w:val="C00000"/>
        </w:rPr>
        <w:t>__________________________________________________________________________</w:t>
      </w:r>
    </w:p>
    <w:p w:rsidR="00CC5788" w:rsidRDefault="00CC5788" w:rsidP="00CC5788">
      <w:pPr>
        <w:spacing w:after="120"/>
        <w:ind w:right="-51"/>
        <w:rPr>
          <w:b/>
          <w:color w:val="4472C4"/>
          <w:sz w:val="2"/>
          <w:szCs w:val="2"/>
        </w:rPr>
      </w:pPr>
    </w:p>
    <w:p w:rsidR="00CC5788" w:rsidRDefault="00CC5788" w:rsidP="00320BA1">
      <w:pPr>
        <w:numPr>
          <w:ilvl w:val="0"/>
          <w:numId w:val="2"/>
        </w:numPr>
        <w:pBdr>
          <w:top w:val="nil"/>
          <w:left w:val="nil"/>
          <w:bottom w:val="nil"/>
          <w:right w:val="nil"/>
          <w:between w:val="nil"/>
        </w:pBdr>
        <w:spacing w:after="120"/>
        <w:ind w:right="-51"/>
        <w:rPr>
          <w:color w:val="4472C4"/>
        </w:rPr>
      </w:pPr>
      <w:r>
        <w:rPr>
          <w:b/>
          <w:color w:val="4472C4"/>
        </w:rPr>
        <w:t xml:space="preserve">Description of the activity: </w:t>
      </w:r>
    </w:p>
    <w:p w:rsidR="00CC5788" w:rsidRDefault="00CC5788" w:rsidP="00CC5788">
      <w:pPr>
        <w:pBdr>
          <w:top w:val="nil"/>
          <w:left w:val="nil"/>
          <w:bottom w:val="nil"/>
          <w:right w:val="nil"/>
          <w:between w:val="nil"/>
        </w:pBdr>
        <w:spacing w:after="120"/>
        <w:ind w:left="360" w:right="-51"/>
        <w:jc w:val="both"/>
        <w:rPr>
          <w:b/>
          <w:color w:val="4472C4"/>
        </w:rPr>
      </w:pPr>
      <w:r>
        <w:rPr>
          <w:color w:val="000000"/>
        </w:rPr>
        <w:t>The teacher and students visit local Research and Technology Center or connect via teleconference with a Center. The visit could include a tour of facilities and quick presentation of equipment in simple terms. Emphasis is placed on people, particularly allowing enough time for students to listen to researcher experiences and ask questions. The Center’s activities and applied solutions are presented to inspire and raise awareness of STEM career paths.</w:t>
      </w:r>
    </w:p>
    <w:p w:rsidR="00CC5788" w:rsidRDefault="00CC5788" w:rsidP="00CC5788">
      <w:pPr>
        <w:spacing w:after="120"/>
        <w:ind w:right="-51"/>
        <w:rPr>
          <w:b/>
          <w:color w:val="4472C4"/>
        </w:rPr>
      </w:pPr>
    </w:p>
    <w:p w:rsidR="00CC5788" w:rsidRDefault="00CC5788" w:rsidP="00CC5788">
      <w:pPr>
        <w:spacing w:after="120"/>
        <w:ind w:right="-51"/>
        <w:rPr>
          <w:b/>
          <w:color w:val="4472C4"/>
        </w:rPr>
      </w:pPr>
    </w:p>
    <w:p w:rsidR="00CC5788" w:rsidRDefault="00CC5788" w:rsidP="00CC5788">
      <w:pPr>
        <w:spacing w:after="120"/>
        <w:ind w:right="-51"/>
        <w:jc w:val="center"/>
      </w:pPr>
      <w:r>
        <w:rPr>
          <w:noProof/>
        </w:rPr>
        <w:drawing>
          <wp:inline distT="0" distB="0" distL="0" distR="0" wp14:anchorId="75A80684" wp14:editId="4A0EFFD2">
            <wp:extent cx="2548607" cy="1911455"/>
            <wp:effectExtent l="0" t="0" r="0" b="0"/>
            <wp:docPr id="2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2548607" cy="1911455"/>
                    </a:xfrm>
                    <a:prstGeom prst="rect">
                      <a:avLst/>
                    </a:prstGeom>
                    <a:ln/>
                  </pic:spPr>
                </pic:pic>
              </a:graphicData>
            </a:graphic>
          </wp:inline>
        </w:drawing>
      </w:r>
    </w:p>
    <w:p w:rsidR="00CC5788" w:rsidRPr="00CC5788" w:rsidRDefault="00CC5788" w:rsidP="00CC5788">
      <w:pPr>
        <w:spacing w:after="120"/>
        <w:ind w:right="-51"/>
        <w:sectPr w:rsidR="00CC5788" w:rsidRPr="00CC5788" w:rsidSect="00CC5788">
          <w:pgSz w:w="11900" w:h="16840"/>
          <w:pgMar w:top="1440" w:right="1440" w:bottom="1545" w:left="1440" w:header="708" w:footer="708" w:gutter="0"/>
          <w:cols w:space="720"/>
        </w:sectPr>
      </w:pPr>
      <w:r>
        <w:rPr>
          <w:b/>
          <w:color w:val="4472C4"/>
        </w:rPr>
        <w:lastRenderedPageBreak/>
        <w:t>9. Link to curriculum: Science Module, Design and Technology Module</w:t>
      </w:r>
      <w:bookmarkStart w:id="0" w:name="_GoBack"/>
      <w:bookmarkEnd w:id="0"/>
    </w:p>
    <w:p w:rsidR="002D64D3" w:rsidRPr="00CC5788" w:rsidRDefault="002D64D3" w:rsidP="00CC5788"/>
    <w:sectPr w:rsidR="002D64D3" w:rsidRPr="00CC5788">
      <w:headerReference w:type="even" r:id="rId8"/>
      <w:headerReference w:type="default" r:id="rId9"/>
      <w:type w:val="continuous"/>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A1" w:rsidRDefault="00320BA1">
      <w:r>
        <w:separator/>
      </w:r>
    </w:p>
  </w:endnote>
  <w:endnote w:type="continuationSeparator" w:id="0">
    <w:p w:rsidR="00320BA1" w:rsidRDefault="0032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A1" w:rsidRDefault="00320BA1">
      <w:r>
        <w:separator/>
      </w:r>
    </w:p>
  </w:footnote>
  <w:footnote w:type="continuationSeparator" w:id="0">
    <w:p w:rsidR="00320BA1" w:rsidRDefault="0032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D3" w:rsidRDefault="002D64D3">
    <w:pPr>
      <w:pBdr>
        <w:top w:val="nil"/>
        <w:left w:val="nil"/>
        <w:bottom w:val="nil"/>
        <w:right w:val="nil"/>
        <w:between w:val="nil"/>
      </w:pBdr>
      <w:tabs>
        <w:tab w:val="center" w:pos="4680"/>
        <w:tab w:val="right" w:pos="9360"/>
      </w:tabs>
      <w:jc w:val="center"/>
      <w:rPr>
        <w:color w:val="000000"/>
      </w:rPr>
    </w:pPr>
  </w:p>
  <w:p w:rsidR="002D64D3" w:rsidRDefault="00320BA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D3" w:rsidRDefault="00320BA1">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CC5788">
      <w:rPr>
        <w:color w:val="000000"/>
        <w:sz w:val="24"/>
        <w:szCs w:val="24"/>
      </w:rPr>
      <w:fldChar w:fldCharType="separate"/>
    </w:r>
    <w:r w:rsidR="00CC5788">
      <w:rPr>
        <w:noProof/>
        <w:color w:val="000000"/>
        <w:sz w:val="24"/>
        <w:szCs w:val="24"/>
      </w:rPr>
      <w:t>3</w:t>
    </w:r>
    <w:r>
      <w:rPr>
        <w:color w:val="000000"/>
        <w:sz w:val="24"/>
        <w:szCs w:val="24"/>
      </w:rPr>
      <w:fldChar w:fldCharType="end"/>
    </w:r>
  </w:p>
  <w:p w:rsidR="002D64D3" w:rsidRDefault="00320BA1">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2D64D3" w:rsidRDefault="002D64D3">
    <w:pPr>
      <w:pBdr>
        <w:top w:val="nil"/>
        <w:left w:val="nil"/>
        <w:bottom w:val="nil"/>
        <w:right w:val="nil"/>
        <w:between w:val="nil"/>
      </w:pBdr>
      <w:tabs>
        <w:tab w:val="center" w:pos="4680"/>
        <w:tab w:val="right" w:pos="9360"/>
      </w:tabs>
    </w:pPr>
  </w:p>
  <w:p w:rsidR="002D64D3" w:rsidRDefault="002D64D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84B79"/>
    <w:multiLevelType w:val="multilevel"/>
    <w:tmpl w:val="2C204D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635232"/>
    <w:multiLevelType w:val="multilevel"/>
    <w:tmpl w:val="10A02348"/>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D3"/>
    <w:rsid w:val="002D64D3"/>
    <w:rsid w:val="00320BA1"/>
    <w:rsid w:val="00CC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AC3C8-5318-4BDD-A6E6-239444B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2019-08-19T21:16:00Z</dcterms:created>
  <dcterms:modified xsi:type="dcterms:W3CDTF">2019-08-19T21:17:00Z</dcterms:modified>
</cp:coreProperties>
</file>